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0"/>
        <w:jc w:val="center"/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North Carolina Tidewater Region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center"/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Tidewater</w:t>
      </w:r>
      <w:r>
        <w:rPr>
          <w:rFonts w:ascii="Trebuchet MS" w:hAnsi="Trebuchet MS"/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 xml:space="preserve">-Eastern region of North Carolina; also known as the </w:t>
      </w:r>
      <w:r>
        <w:rPr>
          <w:rFonts w:ascii="Trebuchet MS" w:hAnsi="Trebuchet MS" w:hint="default"/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>“</w:t>
      </w:r>
      <w:r>
        <w:rPr>
          <w:rFonts w:ascii="Trebuchet MS" w:hAnsi="Trebuchet MS"/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>Outer Coastal Plain,</w:t>
      </w:r>
      <w:r>
        <w:rPr>
          <w:rFonts w:ascii="Trebuchet MS" w:hAnsi="Trebuchet MS" w:hint="default"/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 xml:space="preserve">” </w:t>
      </w:r>
      <w:r>
        <w:rPr>
          <w:rFonts w:ascii="Trebuchet MS" w:hAnsi="Trebuchet MS"/>
          <w:b w:val="1"/>
          <w:bCs w:val="1"/>
          <w:sz w:val="28"/>
          <w:szCs w:val="28"/>
          <w:u w:val="none"/>
          <w:shd w:val="clear" w:color="auto" w:fill="ffe061"/>
          <w:rtl w:val="0"/>
          <w:lang w:val="en-US"/>
        </w:rPr>
        <w:t xml:space="preserve">it consists of beaches, wetlands and </w:t>
      </w: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barrier islands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center"/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val="none"/>
          <w:shd w:val="clear" w:color="auto" w:fill="fefefe"/>
          <w:rtl w:val="0"/>
          <w:lang w:val="en-US"/>
        </w:rPr>
        <w:t>Pictures below: 1. Swampland at Bodie Island. 2. Albemarle</w:t>
      </w:r>
      <w:r>
        <w:rPr>
          <w:rFonts w:ascii="Trebuchet MS" w:cs="Trebuchet MS" w:hAnsi="Trebuchet MS" w:eastAsia="Trebuchet MS"/>
          <w:b w:val="1"/>
          <w:bCs w:val="1"/>
          <w:sz w:val="28"/>
          <w:szCs w:val="28"/>
          <w:u w:val="none"/>
          <w:shd w:val="clear" w:color="auto" w:fill="fefef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908051</wp:posOffset>
            </wp:positionH>
            <wp:positionV relativeFrom="line">
              <wp:posOffset>424847</wp:posOffset>
            </wp:positionV>
            <wp:extent cx="2785447" cy="2089085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85447" cy="2089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 w:val="1"/>
          <w:bCs w:val="1"/>
          <w:sz w:val="28"/>
          <w:szCs w:val="28"/>
          <w:u w:val="none"/>
          <w:shd w:val="clear" w:color="auto" w:fill="fefefe"/>
          <w:rtl w:val="0"/>
          <w:lang w:val="en-US"/>
        </w:rPr>
        <w:t xml:space="preserve"> Sound, Manteo, NC</w:t>
      </w:r>
      <w:r>
        <w:rPr>
          <w:rFonts w:ascii="Trebuchet MS" w:cs="Trebuchet MS" w:hAnsi="Trebuchet MS" w:eastAsia="Trebuchet MS"/>
          <w:b w:val="1"/>
          <w:bCs w:val="1"/>
          <w:sz w:val="28"/>
          <w:szCs w:val="28"/>
          <w:u w:val="none"/>
          <w:shd w:val="clear" w:color="auto" w:fill="fefefe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4090669</wp:posOffset>
            </wp:positionH>
            <wp:positionV relativeFrom="line">
              <wp:posOffset>208280</wp:posOffset>
            </wp:positionV>
            <wp:extent cx="2760980" cy="20707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20707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Paragraph"/>
        <w:numPr>
          <w:ilvl w:val="0"/>
          <w:numId w:val="6"/>
        </w:numPr>
        <w:spacing w:after="0"/>
        <w:jc w:val="center"/>
        <w:rPr>
          <w:rFonts w:ascii="Trebuchet MS" w:cs="Trebuchet MS" w:hAnsi="Trebuchet MS" w:eastAsia="Trebuchet MS"/>
          <w:b w:val="1"/>
          <w:bCs w:val="1"/>
          <w:shd w:val="clear" w:color="auto" w:fill="ffe061"/>
        </w:rPr>
      </w:pP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center"/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Outer Banks-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These barrier islands extend along the </w:t>
      </w: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Albemarle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 and</w:t>
      </w:r>
      <w:r>
        <w:rPr>
          <w:rFonts w:ascii="Trebuchet MS" w:cs="Trebuchet MS" w:hAnsi="Trebuchet MS" w:eastAsia="Trebuchet MS"/>
          <w:b w:val="1"/>
          <w:bCs w:val="1"/>
          <w:sz w:val="28"/>
          <w:szCs w:val="28"/>
          <w:shd w:val="clear" w:color="auto" w:fill="ffe061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908050</wp:posOffset>
            </wp:positionH>
            <wp:positionV relativeFrom="line">
              <wp:posOffset>418711</wp:posOffset>
            </wp:positionV>
            <wp:extent cx="2675987" cy="20069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987" cy="20069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 xml:space="preserve">Pamlico Sound 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(West)  </w:t>
      </w: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and the Atlantic Ocean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 (East)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center"/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Lack of </w:t>
      </w: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 xml:space="preserve">inlets 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 (openings for seawater to go in and out) and bumpy landforms make shipping tough 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center"/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S</w:t>
      </w: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hoals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>, or unseen sandbars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>,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>have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 sunk hundreds of ships 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center"/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>T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he 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OBX 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is called 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the 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fe061"/>
          <w:rtl w:val="0"/>
          <w:lang w:val="en-US"/>
        </w:rPr>
        <w:t>“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>Graveyard of the Atlantic,</w:t>
      </w:r>
      <w:r>
        <w:rPr>
          <w:rFonts w:ascii="Trebuchet MS" w:hAnsi="Trebuchet MS" w:hint="default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” 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>leading to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 lighthouses like Cape Hatteras</w:t>
      </w:r>
    </w:p>
    <w:p>
      <w:pPr>
        <w:pStyle w:val="List Paragraph"/>
        <w:numPr>
          <w:ilvl w:val="0"/>
          <w:numId w:val="16"/>
        </w:numPr>
        <w:bidi w:val="0"/>
        <w:spacing w:after="0"/>
        <w:ind w:right="0"/>
        <w:jc w:val="center"/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Hurricane-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>a powerful tropical storm that brings high winds and heavy rains</w:t>
      </w:r>
    </w:p>
    <w:p>
      <w:pPr>
        <w:pStyle w:val="List Paragraph"/>
        <w:numPr>
          <w:ilvl w:val="0"/>
          <w:numId w:val="18"/>
        </w:numPr>
        <w:bidi w:val="0"/>
        <w:spacing w:after="0"/>
        <w:ind w:right="0"/>
        <w:jc w:val="center"/>
        <w:rPr>
          <w:rFonts w:ascii="Trebuchet MS" w:hAnsi="Trebuchet MS"/>
          <w:b w:val="1"/>
          <w:bCs w:val="1"/>
          <w:sz w:val="28"/>
          <w:szCs w:val="28"/>
          <w:rtl w:val="0"/>
          <w:lang w:val="en-US"/>
        </w:rPr>
      </w:pPr>
      <w:r>
        <w:rPr>
          <w:rFonts w:ascii="Trebuchet MS" w:hAnsi="Trebuchet MS"/>
          <w:b w:val="1"/>
          <w:bCs w:val="1"/>
          <w:sz w:val="28"/>
          <w:szCs w:val="28"/>
          <w:u w:val="single"/>
          <w:shd w:val="clear" w:color="auto" w:fill="ffe061"/>
          <w:rtl w:val="0"/>
          <w:lang w:val="en-US"/>
        </w:rPr>
        <w:t>Notable places: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 Kitty Hawk, 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>New Bern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>, Edenton, Manteo, Wilmington (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>this port city is known for shipping because there are no barrier islands</w:t>
      </w:r>
      <w:r>
        <w:rPr>
          <w:rFonts w:ascii="Trebuchet MS" w:hAnsi="Trebuchet MS"/>
          <w:b w:val="1"/>
          <w:bCs w:val="1"/>
          <w:sz w:val="28"/>
          <w:szCs w:val="28"/>
          <w:shd w:val="clear" w:color="auto" w:fill="ffe061"/>
          <w:rtl w:val="0"/>
          <w:lang w:val="en-US"/>
        </w:rPr>
        <w:t xml:space="preserve">) 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500" w:hanging="4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220" w:hanging="4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940" w:hanging="4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60" w:hanging="4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80" w:hanging="4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100" w:hanging="4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820" w:hanging="4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540" w:hanging="42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643" w:hanging="283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41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13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85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57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29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501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73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450" w:hanging="330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82" w:hanging="2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7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8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50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23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7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82" w:hanging="2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7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8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50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23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7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82" w:hanging="2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7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8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50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23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7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82" w:hanging="2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7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8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50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23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7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82" w:hanging="2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7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8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50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23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7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tabs>
          <w:tab w:val="left" w:pos="643"/>
        </w:tabs>
        <w:ind w:left="582" w:hanging="2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43"/>
        </w:tabs>
        <w:ind w:left="13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43"/>
        </w:tabs>
        <w:ind w:left="207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43"/>
        </w:tabs>
        <w:ind w:left="278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43"/>
        </w:tabs>
        <w:ind w:left="3509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43"/>
        </w:tabs>
        <w:ind w:left="423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43"/>
        </w:tabs>
        <w:ind w:left="4950" w:hanging="2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43"/>
        </w:tabs>
        <w:ind w:left="567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43"/>
        </w:tabs>
        <w:ind w:left="6390" w:hanging="27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