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 w:line="240" w:lineRule="auto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it-IT"/>
        </w:rPr>
        <w:t>Extra Credit-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Second</w:t>
      </w:r>
      <w:r>
        <w:rPr>
          <w:b w:val="1"/>
          <w:bCs w:val="1"/>
          <w:sz w:val="26"/>
          <w:szCs w:val="26"/>
          <w:u w:val="single"/>
          <w:rtl w:val="0"/>
          <w:lang w:val="nl-NL"/>
        </w:rPr>
        <w:t xml:space="preserve"> Nine Weeks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30"/>
          <w:szCs w:val="3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u w:val="single"/>
          <w:rtl w:val="0"/>
          <w:lang w:val="en-US"/>
        </w:rPr>
        <w:t>Due Date:</w:t>
      </w:r>
      <w:r>
        <w:rPr>
          <w:rFonts w:ascii="Trebuchet MS" w:hAnsi="Trebuchet MS"/>
          <w:b w:val="1"/>
          <w:bCs w:val="1"/>
          <w:sz w:val="30"/>
          <w:szCs w:val="30"/>
          <w:u w:val="single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30"/>
          <w:szCs w:val="30"/>
          <w:rtl w:val="0"/>
          <w:lang w:val="en-US"/>
        </w:rPr>
        <w:t xml:space="preserve">Friday, </w:t>
      </w:r>
      <w:r>
        <w:rPr>
          <w:rFonts w:ascii="Trebuchet MS" w:hAnsi="Trebuchet MS"/>
          <w:b w:val="1"/>
          <w:bCs w:val="1"/>
          <w:sz w:val="30"/>
          <w:szCs w:val="30"/>
          <w:rtl w:val="0"/>
          <w:lang w:val="en-US"/>
        </w:rPr>
        <w:t>Jan. 20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30"/>
          <w:szCs w:val="30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Students can do the following:</w:t>
      </w:r>
    </w:p>
    <w:p>
      <w:pPr>
        <w:pStyle w:val="List Paragraph"/>
        <w:spacing w:after="0" w:line="240" w:lineRule="auto"/>
        <w:ind w:left="0" w:firstLine="0"/>
        <w:rPr>
          <w:b w:val="1"/>
          <w:bCs w:val="1"/>
          <w:sz w:val="30"/>
          <w:szCs w:val="30"/>
        </w:rPr>
      </w:pPr>
    </w:p>
    <w:p>
      <w:pPr>
        <w:pStyle w:val="List Paragraph"/>
        <w:spacing w:after="0" w:line="240" w:lineRule="auto"/>
        <w:ind w:left="0" w:firstLine="0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Describe/Summarize your trip  to a historic site</w:t>
      </w:r>
      <w:r>
        <w:rPr>
          <w:b w:val="1"/>
          <w:bCs w:val="1"/>
          <w:sz w:val="26"/>
          <w:szCs w:val="26"/>
          <w:rtl w:val="0"/>
          <w:lang w:val="en-US"/>
        </w:rPr>
        <w:t xml:space="preserve">: Students must visit a historic site in North Carolina and write a two-page summary about their visit and what they learned about this site, including how it relates to N.C. or U.S. history. The student must also include a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picture</w:t>
      </w:r>
      <w:r>
        <w:rPr>
          <w:b w:val="1"/>
          <w:bCs w:val="1"/>
          <w:sz w:val="26"/>
          <w:szCs w:val="26"/>
          <w:rtl w:val="0"/>
          <w:lang w:val="en-US"/>
        </w:rPr>
        <w:t xml:space="preserve"> of him or herself at the site. Students who choose NOT to include this picture will only receive half credit for their efforts.</w:t>
      </w:r>
    </w:p>
    <w:p>
      <w:pPr>
        <w:pStyle w:val="List Paragraph"/>
        <w:spacing w:after="0" w:line="240" w:lineRule="auto"/>
        <w:rPr>
          <w:sz w:val="26"/>
          <w:szCs w:val="26"/>
        </w:rPr>
      </w:pPr>
    </w:p>
    <w:p>
      <w:pPr>
        <w:pStyle w:val="List Paragraph"/>
        <w:spacing w:after="0" w:line="24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Suggested historic sites</w:t>
      </w:r>
      <w:r>
        <w:rPr>
          <w:b w:val="1"/>
          <w:bCs w:val="1"/>
          <w:sz w:val="26"/>
          <w:szCs w:val="26"/>
          <w:rtl w:val="0"/>
          <w:lang w:val="en-US"/>
        </w:rPr>
        <w:t xml:space="preserve">: 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u w:val="singl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>Battle of Kinston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none"/>
          <w:rtl w:val="0"/>
          <w:lang w:val="en-US"/>
        </w:rPr>
        <w:t>-Located one block off of Highway 70 East at the corner of  Meadowbrook and Harriet Drives.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u w:val="single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>Battle of Wyse Fork (Second Battle of Kinston)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none"/>
          <w:rtl w:val="0"/>
          <w:lang w:val="en-US"/>
        </w:rPr>
        <w:t>-Hwy 70 (toward New Bern), near the Jones County line (if you</w:t>
      </w:r>
      <w:r>
        <w:rPr>
          <w:rFonts w:ascii="Calibri" w:cs="Calibri" w:hAnsi="Calibri" w:eastAsia="Calibri" w:hint="default"/>
          <w:b w:val="1"/>
          <w:bCs w:val="1"/>
          <w:sz w:val="26"/>
          <w:szCs w:val="26"/>
          <w:u w:val="none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none"/>
          <w:rtl w:val="0"/>
          <w:lang w:val="en-US"/>
        </w:rPr>
        <w:t>re heading toward New Bern, it</w:t>
      </w:r>
      <w:r>
        <w:rPr>
          <w:rFonts w:ascii="Calibri" w:cs="Calibri" w:hAnsi="Calibri" w:eastAsia="Calibri" w:hint="default"/>
          <w:b w:val="1"/>
          <w:bCs w:val="1"/>
          <w:sz w:val="26"/>
          <w:szCs w:val="26"/>
          <w:u w:val="none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none"/>
          <w:rtl w:val="0"/>
          <w:lang w:val="en-US"/>
        </w:rPr>
        <w:t>s on your left)</w:t>
      </w: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>C.S.S. Neuse Interpretive Center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-$5 admission, but totally worth it!(100 N Queen St, Kinston, NC 28501)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>Governor Caswell Memorial Museum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-Open on Fridays from 10 a.m.-2 p.m., Saturdays from 10 a.m.-4 p.m.  (2612 W. Vernon Ave. (U.S. 70 Bus.)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Fort Neoheroka</w:t>
      </w:r>
      <w:r>
        <w:rPr>
          <w:b w:val="1"/>
          <w:bCs w:val="1"/>
          <w:sz w:val="26"/>
          <w:szCs w:val="26"/>
          <w:rtl w:val="0"/>
          <w:lang w:val="en-US"/>
        </w:rPr>
        <w:t>-Snow Hill, Greene County (Hwy 58 North)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Kinston-Lenoir County Visitors Center</w:t>
      </w:r>
      <w:r>
        <w:rPr>
          <w:b w:val="1"/>
          <w:bCs w:val="1"/>
          <w:sz w:val="26"/>
          <w:szCs w:val="26"/>
          <w:rtl w:val="0"/>
          <w:lang w:val="en-US"/>
        </w:rPr>
        <w:t>-101 E New Bern Rd. Hours range from 9 a.m.-5 p.m. (Mon.-Fri.), 10 a.m.-5 p.m. on Saturdays and 1-5 p.m. on Sundays</w:t>
      </w:r>
    </w:p>
    <w:p>
      <w:pPr>
        <w:pStyle w:val="List Paragraph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en-US"/>
        </w:rPr>
        <w:t>Feeling Adventurous? Old Waynesborough Park-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US-117 Alt, Goldsboro, NC 27530</w:t>
      </w:r>
    </w:p>
    <w:p>
      <w:pPr>
        <w:pStyle w:val="Body A"/>
        <w:spacing w:after="0" w:line="240" w:lineRule="auto"/>
        <w:ind w:left="360" w:firstLine="0"/>
        <w:rPr>
          <w:b w:val="1"/>
          <w:bCs w:val="1"/>
          <w:sz w:val="26"/>
          <w:szCs w:val="26"/>
        </w:rPr>
      </w:pPr>
    </w:p>
    <w:p>
      <w:pPr>
        <w:pStyle w:val="Body A"/>
        <w:spacing w:after="0" w:line="240" w:lineRule="auto"/>
        <w:jc w:val="center"/>
        <w:rPr>
          <w:b w:val="1"/>
          <w:bCs w:val="1"/>
          <w:sz w:val="30"/>
          <w:szCs w:val="30"/>
          <w:lang w:val="en-US"/>
        </w:rPr>
      </w:pPr>
      <w:r>
        <w:rPr>
          <w:b w:val="1"/>
          <w:bCs w:val="1"/>
          <w:sz w:val="30"/>
          <w:szCs w:val="30"/>
          <w:rtl w:val="0"/>
          <w:lang w:val="en-US"/>
        </w:rPr>
        <w:t>Either paper can be hand-written or typed.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 A"/>
        <w:spacing w:after="0" w:line="240" w:lineRule="auto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If it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s typed, then meet the following guidelines:</w:t>
      </w:r>
    </w:p>
    <w:p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Double-spaced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12 font, Times New Roman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left"/>
        <w:rPr>
          <w:rFonts w:ascii="Trebuchet MS" w:cs="Trebuchet MS" w:hAnsi="Trebuchet MS" w:eastAsia="Trebuchet MS"/>
          <w:b w:val="1"/>
          <w:bCs w:val="1"/>
          <w:position w:val="0"/>
          <w:sz w:val="26"/>
          <w:szCs w:val="2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en-US"/>
        </w:rPr>
        <w:t>One-inch margins</w:t>
      </w:r>
    </w:p>
    <w:p>
      <w:pPr>
        <w:pStyle w:val="List Paragraph"/>
        <w:spacing w:after="0" w:line="240" w:lineRule="auto"/>
        <w:ind w:left="0" w:firstLine="0"/>
        <w:rPr>
          <w:b w:val="1"/>
          <w:bCs w:val="1"/>
          <w:sz w:val="26"/>
          <w:szCs w:val="26"/>
        </w:rPr>
      </w:pPr>
    </w:p>
    <w:p>
      <w:pPr>
        <w:pStyle w:val="Body A"/>
        <w:spacing w:after="0" w:line="240" w:lineRule="auto"/>
        <w:rPr>
          <w:b w:val="1"/>
          <w:bCs w:val="1"/>
          <w:sz w:val="26"/>
          <w:szCs w:val="26"/>
        </w:rPr>
      </w:pPr>
    </w:p>
    <w:p>
      <w:pPr>
        <w:pStyle w:val="Body A"/>
        <w:spacing w:after="0" w:line="240" w:lineRule="auto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Extra Credit, if done PROPERLY, would replace a test grade or two quiz/classwork grades</w:t>
      </w:r>
      <w:r>
        <w:rPr>
          <w:b w:val="1"/>
          <w:bCs w:val="1"/>
          <w:sz w:val="26"/>
          <w:szCs w:val="26"/>
          <w:rtl w:val="0"/>
          <w:lang w:val="it-IT"/>
        </w:rPr>
        <w:t xml:space="preserve">. 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This would depend on the student</w:t>
      </w:r>
      <w:r>
        <w:rPr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b w:val="1"/>
          <w:bCs w:val="1"/>
          <w:sz w:val="26"/>
          <w:szCs w:val="26"/>
          <w:u w:val="single"/>
          <w:rtl w:val="0"/>
          <w:lang w:val="en-US"/>
        </w:rPr>
        <w:t>s greatest need.</w:t>
      </w:r>
    </w:p>
    <w:p>
      <w:pPr>
        <w:pStyle w:val="Body A"/>
        <w:spacing w:after="0" w:line="240" w:lineRule="auto"/>
        <w:rPr>
          <w:b w:val="1"/>
          <w:bCs w:val="1"/>
          <w:sz w:val="26"/>
          <w:szCs w:val="26"/>
        </w:rPr>
      </w:pPr>
    </w:p>
    <w:p>
      <w:pPr>
        <w:pStyle w:val="Body A"/>
        <w:spacing w:after="0" w:line="240" w:lineRule="auto"/>
        <w:jc w:val="center"/>
      </w:pPr>
      <w:r>
        <w:rPr>
          <w:b w:val="1"/>
          <w:bCs w:val="1"/>
          <w:sz w:val="30"/>
          <w:szCs w:val="30"/>
          <w:rtl w:val="0"/>
          <w:lang w:val="en-US"/>
        </w:rPr>
        <w:t>Questions? Please let me know!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624"/>
        </w:tabs>
        <w:ind w:left="554" w:hanging="19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24"/>
        </w:tabs>
        <w:ind w:left="134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24"/>
        </w:tabs>
        <w:ind w:left="206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24"/>
        </w:tabs>
        <w:ind w:left="278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24"/>
        </w:tabs>
        <w:ind w:left="350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24"/>
        </w:tabs>
        <w:ind w:left="422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24"/>
        </w:tabs>
        <w:ind w:left="494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24"/>
        </w:tabs>
        <w:ind w:left="566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24"/>
        </w:tabs>
        <w:ind w:left="638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tabs>
          <w:tab w:val="left" w:pos="624"/>
        </w:tabs>
        <w:ind w:left="554" w:hanging="194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24"/>
        </w:tabs>
        <w:ind w:left="134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24"/>
        </w:tabs>
        <w:ind w:left="206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24"/>
        </w:tabs>
        <w:ind w:left="278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24"/>
        </w:tabs>
        <w:ind w:left="350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24"/>
        </w:tabs>
        <w:ind w:left="422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24"/>
        </w:tabs>
        <w:ind w:left="494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24"/>
        </w:tabs>
        <w:ind w:left="566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24"/>
        </w:tabs>
        <w:ind w:left="6380" w:hanging="2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tabs>
          <w:tab w:val="left" w:pos="665"/>
        </w:tabs>
        <w:ind w:left="61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5"/>
        </w:tabs>
        <w:ind w:left="13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5"/>
        </w:tabs>
        <w:ind w:left="20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5"/>
        </w:tabs>
        <w:ind w:left="28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5"/>
        </w:tabs>
        <w:ind w:left="35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5"/>
        </w:tabs>
        <w:ind w:left="42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5"/>
        </w:tabs>
        <w:ind w:left="49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5"/>
        </w:tabs>
        <w:ind w:left="56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5"/>
        </w:tabs>
        <w:ind w:left="64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665"/>
        </w:tabs>
        <w:ind w:left="61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5"/>
        </w:tabs>
        <w:ind w:left="13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5"/>
        </w:tabs>
        <w:ind w:left="20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5"/>
        </w:tabs>
        <w:ind w:left="28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5"/>
        </w:tabs>
        <w:ind w:left="35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5"/>
        </w:tabs>
        <w:ind w:left="42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5"/>
        </w:tabs>
        <w:ind w:left="49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5"/>
        </w:tabs>
        <w:ind w:left="56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5"/>
        </w:tabs>
        <w:ind w:left="64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tabs>
          <w:tab w:val="left" w:pos="665"/>
        </w:tabs>
        <w:ind w:left="61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5"/>
        </w:tabs>
        <w:ind w:left="13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5"/>
        </w:tabs>
        <w:ind w:left="20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5"/>
        </w:tabs>
        <w:ind w:left="28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5"/>
        </w:tabs>
        <w:ind w:left="35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5"/>
        </w:tabs>
        <w:ind w:left="42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5"/>
        </w:tabs>
        <w:ind w:left="49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5"/>
        </w:tabs>
        <w:ind w:left="56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5"/>
        </w:tabs>
        <w:ind w:left="64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7"/>
  </w:abstractNum>
  <w:abstractNum w:abstractNumId="11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tabs>
          <w:tab w:val="left" w:pos="665"/>
        </w:tabs>
        <w:ind w:left="61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5"/>
        </w:tabs>
        <w:ind w:left="13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5"/>
        </w:tabs>
        <w:ind w:left="20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5"/>
        </w:tabs>
        <w:ind w:left="28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5"/>
        </w:tabs>
        <w:ind w:left="35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5"/>
        </w:tabs>
        <w:ind w:left="42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5"/>
        </w:tabs>
        <w:ind w:left="49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5"/>
        </w:tabs>
        <w:ind w:left="56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5"/>
        </w:tabs>
        <w:ind w:left="64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8"/>
  </w:abstractNum>
  <w:abstractNum w:abstractNumId="13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tabs>
          <w:tab w:val="left" w:pos="665"/>
        </w:tabs>
        <w:ind w:left="61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5"/>
        </w:tabs>
        <w:ind w:left="13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5"/>
        </w:tabs>
        <w:ind w:left="20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5"/>
        </w:tabs>
        <w:ind w:left="28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5"/>
        </w:tabs>
        <w:ind w:left="35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5"/>
        </w:tabs>
        <w:ind w:left="42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5"/>
        </w:tabs>
        <w:ind w:left="49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5"/>
        </w:tabs>
        <w:ind w:left="56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5"/>
        </w:tabs>
        <w:ind w:left="64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9"/>
  </w:abstractNum>
  <w:abstractNum w:abstractNumId="15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tabs>
          <w:tab w:val="left" w:pos="1025"/>
        </w:tabs>
        <w:ind w:left="97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25"/>
        </w:tabs>
        <w:ind w:left="17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25"/>
        </w:tabs>
        <w:ind w:left="24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25"/>
        </w:tabs>
        <w:ind w:left="31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25"/>
        </w:tabs>
        <w:ind w:left="38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25"/>
        </w:tabs>
        <w:ind w:left="46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25"/>
        </w:tabs>
        <w:ind w:left="53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25"/>
        </w:tabs>
        <w:ind w:left="60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25"/>
        </w:tabs>
        <w:ind w:left="67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0"/>
  </w:abstractNum>
  <w:abstractNum w:abstractNumId="17">
    <w:multiLevelType w:val="hybridMultilevel"/>
    <w:styleLink w:val="Imported Style 10"/>
    <w:lvl w:ilvl="0">
      <w:start w:val="1"/>
      <w:numFmt w:val="bullet"/>
      <w:suff w:val="tab"/>
      <w:lvlText w:val="•"/>
      <w:lvlJc w:val="left"/>
      <w:pPr>
        <w:tabs>
          <w:tab w:val="left" w:pos="1025"/>
        </w:tabs>
        <w:ind w:left="97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25"/>
        </w:tabs>
        <w:ind w:left="17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25"/>
        </w:tabs>
        <w:ind w:left="24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25"/>
        </w:tabs>
        <w:ind w:left="31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25"/>
        </w:tabs>
        <w:ind w:left="38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25"/>
        </w:tabs>
        <w:ind w:left="46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25"/>
        </w:tabs>
        <w:ind w:left="53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25"/>
        </w:tabs>
        <w:ind w:left="60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25"/>
        </w:tabs>
        <w:ind w:left="67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1"/>
  </w:abstractNum>
  <w:abstractNum w:abstractNumId="19">
    <w:multiLevelType w:val="hybridMultilevel"/>
    <w:styleLink w:val="Imported Style 11"/>
    <w:lvl w:ilvl="0">
      <w:start w:val="1"/>
      <w:numFmt w:val="bullet"/>
      <w:suff w:val="tab"/>
      <w:lvlText w:val="•"/>
      <w:lvlJc w:val="left"/>
      <w:pPr>
        <w:tabs>
          <w:tab w:val="left" w:pos="1025"/>
        </w:tabs>
        <w:ind w:left="978" w:hanging="258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025"/>
        </w:tabs>
        <w:ind w:left="17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25"/>
        </w:tabs>
        <w:ind w:left="24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025"/>
        </w:tabs>
        <w:ind w:left="31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025"/>
        </w:tabs>
        <w:ind w:left="388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25"/>
        </w:tabs>
        <w:ind w:left="460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025"/>
        </w:tabs>
        <w:ind w:left="532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025"/>
        </w:tabs>
        <w:ind w:left="60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25"/>
        </w:tabs>
        <w:ind w:left="676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7">
    <w:name w:val="Imported Style 7"/>
    <w:pPr>
      <w:numPr>
        <w:numId w:val="11"/>
      </w:numPr>
    </w:pPr>
  </w:style>
  <w:style w:type="numbering" w:styleId="Imported Style 8">
    <w:name w:val="Imported Style 8"/>
    <w:pPr>
      <w:numPr>
        <w:numId w:val="13"/>
      </w:numPr>
    </w:pPr>
  </w:style>
  <w:style w:type="numbering" w:styleId="Imported Style 9">
    <w:name w:val="Imported Style 9"/>
    <w:pPr>
      <w:numPr>
        <w:numId w:val="15"/>
      </w:numPr>
    </w:pPr>
  </w:style>
  <w:style w:type="numbering" w:styleId="Imported Style 10">
    <w:name w:val="Imported Style 10"/>
    <w:pPr>
      <w:numPr>
        <w:numId w:val="17"/>
      </w:numPr>
    </w:pPr>
  </w:style>
  <w:style w:type="numbering" w:styleId="Imported Style 11">
    <w:name w:val="Imported Style 11"/>
    <w:pPr>
      <w:numPr>
        <w:numId w:val="1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